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8E2815" w14:textId="77777777" w:rsidR="00000000" w:rsidRDefault="00000000">
      <w:pPr>
        <w:pStyle w:val="section1"/>
        <w:shd w:val="clear" w:color="auto" w:fill="943634" w:themeFill="accent2" w:themeFillShade="BF"/>
        <w:spacing w:before="0" w:beforeAutospacing="0" w:after="300" w:afterAutospacing="0"/>
        <w:contextualSpacing/>
        <w:rPr>
          <w:rFonts w:asciiTheme="majorHAnsi" w:hAnsiTheme="majorHAnsi"/>
          <w:color w:val="FFFFFF" w:themeColor="background1"/>
          <w:sz w:val="36"/>
          <w:szCs w:val="52"/>
        </w:rPr>
      </w:pPr>
      <w:r>
        <w:rPr>
          <w:rFonts w:asciiTheme="majorHAnsi" w:hAnsiTheme="majorHAnsi"/>
          <w:i/>
          <w:color w:val="FFFFFF" w:themeColor="background1"/>
          <w:sz w:val="36"/>
          <w:szCs w:val="52"/>
        </w:rPr>
        <w:t>Data Analysis &amp; Decision Making</w:t>
      </w:r>
      <w:r>
        <w:rPr>
          <w:rFonts w:asciiTheme="majorHAnsi" w:hAnsiTheme="majorHAnsi"/>
          <w:color w:val="FFFFFF" w:themeColor="background1"/>
          <w:sz w:val="36"/>
          <w:szCs w:val="52"/>
        </w:rPr>
        <w:t>, 4e</w:t>
      </w:r>
    </w:p>
    <w:p w14:paraId="45A45CD5" w14:textId="77777777" w:rsidR="00000000" w:rsidRDefault="00000000">
      <w:pPr>
        <w:pStyle w:val="section1"/>
        <w:shd w:val="clear" w:color="auto" w:fill="943634" w:themeFill="accent2" w:themeFillShade="BF"/>
        <w:spacing w:before="0" w:beforeAutospacing="0" w:after="300" w:afterAutospacing="0"/>
        <w:contextualSpacing/>
        <w:rPr>
          <w:rFonts w:asciiTheme="majorHAnsi" w:eastAsiaTheme="majorEastAsia" w:hAnsiTheme="majorHAnsi" w:cstheme="majorBidi"/>
          <w:color w:val="FFFFFF" w:themeColor="background1"/>
          <w:spacing w:val="5"/>
          <w:kern w:val="28"/>
          <w:sz w:val="36"/>
          <w:szCs w:val="52"/>
        </w:rPr>
      </w:pPr>
      <w:r>
        <w:rPr>
          <w:rFonts w:asciiTheme="majorHAnsi" w:hAnsiTheme="majorHAnsi"/>
          <w:color w:val="FFFFFF" w:themeColor="background1"/>
          <w:sz w:val="36"/>
          <w:szCs w:val="52"/>
        </w:rPr>
        <w:t>Albright, Winston, Zappe</w:t>
      </w:r>
    </w:p>
    <w:p w14:paraId="4D8A41DA" w14:textId="77777777" w:rsidR="00000000" w:rsidRDefault="00000000">
      <w:pPr>
        <w:pStyle w:val="section1"/>
        <w:rPr>
          <w:rFonts w:asciiTheme="minorHAnsi" w:hAnsiTheme="minorHAnsi" w:cs="Calibri"/>
          <w:sz w:val="22"/>
          <w:szCs w:val="22"/>
        </w:rPr>
      </w:pPr>
    </w:p>
    <w:p w14:paraId="4C0D31C5"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We tried to find all the typos, bad numbers, wrong solutions, and so forth, but with so many details, we missed a few. As we (or you) find errors, we'll list them on this page by chapter. Note that if there is an error in a solution file for some problem, we will try to indicate a way to fix the error without "giving away" the solution to students who might be reading this page. The date of the correction is shown in parentheses.</w:t>
      </w:r>
    </w:p>
    <w:p w14:paraId="313B29C9" w14:textId="77777777" w:rsidR="00000000" w:rsidRDefault="00000000">
      <w:pPr>
        <w:pStyle w:val="section1"/>
        <w:outlineLvl w:val="2"/>
        <w:rPr>
          <w:rFonts w:asciiTheme="minorHAnsi" w:hAnsiTheme="minorHAnsi" w:cs="Calibri"/>
          <w:b/>
          <w:bCs/>
          <w:sz w:val="22"/>
          <w:szCs w:val="22"/>
        </w:rPr>
      </w:pPr>
      <w:bookmarkStart w:id="0" w:name="Ch1"/>
      <w:bookmarkEnd w:id="0"/>
      <w:r>
        <w:t>Chapter 1</w:t>
      </w:r>
    </w:p>
    <w:p w14:paraId="45BEC7FB" w14:textId="77777777" w:rsidR="00000000" w:rsidRDefault="00000000">
      <w:pPr>
        <w:pStyle w:val="section1"/>
        <w:numPr>
          <w:ilvl w:val="0"/>
          <w:numId w:val="2"/>
        </w:numPr>
        <w:rPr>
          <w:rFonts w:asciiTheme="minorHAnsi" w:hAnsiTheme="minorHAnsi" w:cs="Calibri"/>
          <w:sz w:val="22"/>
          <w:szCs w:val="22"/>
        </w:rPr>
      </w:pPr>
      <w:bookmarkStart w:id="1" w:name="Ch2"/>
      <w:bookmarkEnd w:id="1"/>
      <w:r>
        <w:rPr>
          <w:rFonts w:asciiTheme="minorHAnsi" w:hAnsiTheme="minorHAnsi" w:cs="Calibri"/>
          <w:sz w:val="22"/>
          <w:szCs w:val="22"/>
        </w:rPr>
        <w:t xml:space="preserve">(5/3/2013) In equation (1.2) on page 12, the subscript on </w:t>
      </w:r>
      <w:r>
        <w:rPr>
          <w:rFonts w:asciiTheme="minorHAnsi" w:hAnsiTheme="minorHAnsi" w:cs="Calibri"/>
          <w:i/>
          <w:sz w:val="22"/>
          <w:szCs w:val="22"/>
        </w:rPr>
        <w:t>b</w:t>
      </w:r>
      <w:r>
        <w:rPr>
          <w:rFonts w:asciiTheme="minorHAnsi" w:hAnsiTheme="minorHAnsi" w:cs="Calibri"/>
          <w:sz w:val="22"/>
          <w:szCs w:val="22"/>
        </w:rPr>
        <w:t xml:space="preserve"> should be </w:t>
      </w:r>
      <w:r>
        <w:rPr>
          <w:rFonts w:asciiTheme="minorHAnsi" w:hAnsiTheme="minorHAnsi" w:cs="Calibri"/>
          <w:i/>
          <w:sz w:val="22"/>
          <w:szCs w:val="22"/>
        </w:rPr>
        <w:t>i</w:t>
      </w:r>
      <w:r>
        <w:rPr>
          <w:rFonts w:asciiTheme="minorHAnsi" w:hAnsiTheme="minorHAnsi" w:cs="Calibri"/>
          <w:sz w:val="22"/>
          <w:szCs w:val="22"/>
        </w:rPr>
        <w:t xml:space="preserve">, not </w:t>
      </w:r>
      <w:r>
        <w:rPr>
          <w:rFonts w:asciiTheme="minorHAnsi" w:hAnsiTheme="minorHAnsi" w:cs="Calibri"/>
          <w:i/>
          <w:sz w:val="22"/>
          <w:szCs w:val="22"/>
        </w:rPr>
        <w:t>j</w:t>
      </w:r>
      <w:r>
        <w:rPr>
          <w:rFonts w:asciiTheme="minorHAnsi" w:hAnsiTheme="minorHAnsi" w:cs="Calibri"/>
          <w:sz w:val="22"/>
          <w:szCs w:val="22"/>
        </w:rPr>
        <w:t>.</w:t>
      </w:r>
    </w:p>
    <w:p w14:paraId="430AB85B" w14:textId="77777777" w:rsidR="00000000" w:rsidRDefault="00000000">
      <w:pPr>
        <w:pStyle w:val="section1"/>
        <w:outlineLvl w:val="2"/>
        <w:rPr>
          <w:rFonts w:asciiTheme="minorHAnsi" w:hAnsiTheme="minorHAnsi" w:cs="Calibri"/>
          <w:b/>
          <w:bCs/>
          <w:sz w:val="22"/>
          <w:szCs w:val="22"/>
        </w:rPr>
      </w:pPr>
      <w:r>
        <w:t xml:space="preserve">Chapter 2 </w:t>
      </w:r>
    </w:p>
    <w:p w14:paraId="0D4F628A" w14:textId="77777777" w:rsidR="00000000" w:rsidRDefault="00000000">
      <w:pPr>
        <w:pStyle w:val="section1"/>
        <w:numPr>
          <w:ilvl w:val="0"/>
          <w:numId w:val="2"/>
        </w:numPr>
        <w:rPr>
          <w:rFonts w:asciiTheme="minorHAnsi" w:hAnsiTheme="minorHAnsi" w:cs="Calibri"/>
          <w:sz w:val="22"/>
          <w:szCs w:val="22"/>
        </w:rPr>
      </w:pPr>
      <w:bookmarkStart w:id="2" w:name="Ch3"/>
      <w:bookmarkEnd w:id="2"/>
      <w:r>
        <w:rPr>
          <w:rFonts w:asciiTheme="minorHAnsi" w:hAnsiTheme="minorHAnsi" w:cs="Calibri"/>
          <w:sz w:val="22"/>
          <w:szCs w:val="22"/>
        </w:rPr>
        <w:t>(9/6/2010) In Figure 2.10 on page 35, the interquartile range in cell F3 is wrong; it should be $3,817,950. The same error is in the finished version of the Baseball Salaries 2009 file.</w:t>
      </w:r>
    </w:p>
    <w:p w14:paraId="3983F5B1"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(2/5/2012) Problem 31 on page 66 mentions a “four-year period.” It should state “many years.”</w:t>
      </w:r>
    </w:p>
    <w:p w14:paraId="16754B90"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(2/19/2013) As one observant student discovered, the data in the problem file P02_07.xlsx are not internally consistent. There are employees with ages that are way too young for their years of work experience. I won’t change the data set for the 4</w:t>
      </w:r>
      <w:r>
        <w:rPr>
          <w:rFonts w:asciiTheme="minorHAnsi" w:hAnsiTheme="minorHAnsi" w:cs="Calibri"/>
          <w:sz w:val="22"/>
          <w:szCs w:val="22"/>
          <w:vertAlign w:val="superscript"/>
        </w:rPr>
        <w:t>th</w:t>
      </w:r>
      <w:r>
        <w:rPr>
          <w:rFonts w:asciiTheme="minorHAnsi" w:hAnsiTheme="minorHAnsi" w:cs="Calibri"/>
          <w:sz w:val="22"/>
          <w:szCs w:val="22"/>
        </w:rPr>
        <w:t xml:space="preserve"> edition, but it will be changed in the 5</w:t>
      </w:r>
      <w:r>
        <w:rPr>
          <w:rFonts w:asciiTheme="minorHAnsi" w:hAnsiTheme="minorHAnsi" w:cs="Calibri"/>
          <w:sz w:val="22"/>
          <w:szCs w:val="22"/>
          <w:vertAlign w:val="superscript"/>
        </w:rPr>
        <w:t>th</w:t>
      </w:r>
      <w:r>
        <w:rPr>
          <w:rFonts w:asciiTheme="minorHAnsi" w:hAnsiTheme="minorHAnsi" w:cs="Calibri"/>
          <w:sz w:val="22"/>
          <w:szCs w:val="22"/>
        </w:rPr>
        <w:t xml:space="preserve"> edition.</w:t>
      </w:r>
    </w:p>
    <w:p w14:paraId="2CE098FF"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(9/22/2011) Table 2.1 on page 81 is wrong, which makes the case undoable. There is no accompanying file for the case, but the table should be the following:</w:t>
      </w:r>
      <w:r>
        <w:rPr>
          <w:rFonts w:asciiTheme="minorHAnsi" w:hAnsiTheme="minorHAnsi" w:cs="Calibri"/>
          <w:sz w:val="22"/>
          <w:szCs w:val="22"/>
        </w:rPr>
        <w:br/>
      </w:r>
    </w:p>
    <w:tbl>
      <w:tblPr>
        <w:tblW w:w="12320" w:type="dxa"/>
        <w:tblInd w:w="-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0"/>
        <w:gridCol w:w="1540"/>
        <w:gridCol w:w="1540"/>
        <w:gridCol w:w="1540"/>
        <w:gridCol w:w="1540"/>
        <w:gridCol w:w="1945"/>
        <w:gridCol w:w="1350"/>
        <w:gridCol w:w="1325"/>
      </w:tblGrid>
      <w:tr w:rsidR="00000000" w14:paraId="4D992CD5" w14:textId="77777777">
        <w:trPr>
          <w:trHeight w:val="300"/>
        </w:trPr>
        <w:tc>
          <w:tcPr>
            <w:tcW w:w="1540" w:type="dxa"/>
            <w:tcBorders>
              <w:top w:val="single" w:sz="4" w:space="0" w:color="auto"/>
              <w:left w:val="single" w:sz="4" w:space="0" w:color="auto"/>
              <w:bottom w:val="nil"/>
              <w:right w:val="nil"/>
            </w:tcBorders>
            <w:noWrap/>
            <w:vAlign w:val="bottom"/>
            <w:hideMark/>
          </w:tcPr>
          <w:p w14:paraId="3F5A45A1"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Miller</w:t>
            </w:r>
          </w:p>
        </w:tc>
        <w:tc>
          <w:tcPr>
            <w:tcW w:w="1540" w:type="dxa"/>
            <w:tcBorders>
              <w:top w:val="single" w:sz="4" w:space="0" w:color="auto"/>
              <w:left w:val="nil"/>
              <w:bottom w:val="nil"/>
              <w:right w:val="nil"/>
            </w:tcBorders>
            <w:noWrap/>
            <w:vAlign w:val="bottom"/>
            <w:hideMark/>
          </w:tcPr>
          <w:p w14:paraId="052E06E9"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Budweiser</w:t>
            </w:r>
          </w:p>
        </w:tc>
        <w:tc>
          <w:tcPr>
            <w:tcW w:w="1540" w:type="dxa"/>
            <w:tcBorders>
              <w:top w:val="single" w:sz="4" w:space="0" w:color="auto"/>
              <w:left w:val="nil"/>
              <w:bottom w:val="nil"/>
              <w:right w:val="nil"/>
            </w:tcBorders>
            <w:noWrap/>
            <w:vAlign w:val="bottom"/>
            <w:hideMark/>
          </w:tcPr>
          <w:p w14:paraId="51CBCED1"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Coors</w:t>
            </w:r>
          </w:p>
        </w:tc>
        <w:tc>
          <w:tcPr>
            <w:tcW w:w="1540" w:type="dxa"/>
            <w:tcBorders>
              <w:top w:val="single" w:sz="4" w:space="0" w:color="auto"/>
              <w:left w:val="nil"/>
              <w:bottom w:val="nil"/>
              <w:right w:val="nil"/>
            </w:tcBorders>
            <w:noWrap/>
            <w:vAlign w:val="bottom"/>
            <w:hideMark/>
          </w:tcPr>
          <w:p w14:paraId="12CA0E48"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Michelob</w:t>
            </w:r>
          </w:p>
        </w:tc>
        <w:tc>
          <w:tcPr>
            <w:tcW w:w="1540" w:type="dxa"/>
            <w:tcBorders>
              <w:top w:val="single" w:sz="4" w:space="0" w:color="auto"/>
              <w:left w:val="nil"/>
              <w:bottom w:val="nil"/>
              <w:right w:val="nil"/>
            </w:tcBorders>
            <w:noWrap/>
            <w:vAlign w:val="bottom"/>
            <w:hideMark/>
          </w:tcPr>
          <w:p w14:paraId="6C929846"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Heineken</w:t>
            </w:r>
          </w:p>
        </w:tc>
        <w:tc>
          <w:tcPr>
            <w:tcW w:w="1945" w:type="dxa"/>
            <w:tcBorders>
              <w:top w:val="single" w:sz="4" w:space="0" w:color="auto"/>
              <w:left w:val="nil"/>
              <w:bottom w:val="nil"/>
              <w:right w:val="nil"/>
            </w:tcBorders>
            <w:noWrap/>
            <w:vAlign w:val="bottom"/>
            <w:hideMark/>
          </w:tcPr>
          <w:p w14:paraId="4EE8B781"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Old Milwaukee</w:t>
            </w:r>
          </w:p>
        </w:tc>
        <w:tc>
          <w:tcPr>
            <w:tcW w:w="1350" w:type="dxa"/>
            <w:tcBorders>
              <w:top w:val="single" w:sz="4" w:space="0" w:color="auto"/>
              <w:left w:val="nil"/>
              <w:bottom w:val="nil"/>
              <w:right w:val="nil"/>
            </w:tcBorders>
            <w:noWrap/>
            <w:vAlign w:val="bottom"/>
            <w:hideMark/>
          </w:tcPr>
          <w:p w14:paraId="50D4B64A"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Rolling Rock</w:t>
            </w:r>
          </w:p>
        </w:tc>
        <w:tc>
          <w:tcPr>
            <w:tcW w:w="1325" w:type="dxa"/>
            <w:tcBorders>
              <w:top w:val="single" w:sz="4" w:space="0" w:color="auto"/>
              <w:left w:val="nil"/>
              <w:bottom w:val="nil"/>
              <w:right w:val="single" w:sz="4" w:space="0" w:color="auto"/>
            </w:tcBorders>
            <w:noWrap/>
            <w:vAlign w:val="bottom"/>
            <w:hideMark/>
          </w:tcPr>
          <w:p w14:paraId="0B621A57"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Any</w:t>
            </w:r>
          </w:p>
        </w:tc>
      </w:tr>
      <w:tr w:rsidR="00000000" w14:paraId="6C3130D9" w14:textId="77777777">
        <w:trPr>
          <w:trHeight w:val="300"/>
        </w:trPr>
        <w:tc>
          <w:tcPr>
            <w:tcW w:w="1540" w:type="dxa"/>
            <w:tcBorders>
              <w:top w:val="nil"/>
              <w:left w:val="single" w:sz="4" w:space="0" w:color="auto"/>
              <w:bottom w:val="single" w:sz="4" w:space="0" w:color="auto"/>
              <w:right w:val="nil"/>
            </w:tcBorders>
            <w:noWrap/>
            <w:vAlign w:val="bottom"/>
            <w:hideMark/>
          </w:tcPr>
          <w:p w14:paraId="0859CE2F"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6.77</w:t>
            </w:r>
          </w:p>
        </w:tc>
        <w:tc>
          <w:tcPr>
            <w:tcW w:w="1540" w:type="dxa"/>
            <w:tcBorders>
              <w:top w:val="nil"/>
              <w:left w:val="nil"/>
              <w:bottom w:val="single" w:sz="4" w:space="0" w:color="auto"/>
              <w:right w:val="nil"/>
            </w:tcBorders>
            <w:noWrap/>
            <w:vAlign w:val="bottom"/>
            <w:hideMark/>
          </w:tcPr>
          <w:p w14:paraId="78479CA4"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6.62</w:t>
            </w:r>
          </w:p>
        </w:tc>
        <w:tc>
          <w:tcPr>
            <w:tcW w:w="1540" w:type="dxa"/>
            <w:tcBorders>
              <w:top w:val="nil"/>
              <w:left w:val="nil"/>
              <w:bottom w:val="single" w:sz="4" w:space="0" w:color="auto"/>
              <w:right w:val="nil"/>
            </w:tcBorders>
            <w:noWrap/>
            <w:vAlign w:val="bottom"/>
            <w:hideMark/>
          </w:tcPr>
          <w:p w14:paraId="6E5128ED"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6.64</w:t>
            </w:r>
          </w:p>
        </w:tc>
        <w:tc>
          <w:tcPr>
            <w:tcW w:w="1540" w:type="dxa"/>
            <w:tcBorders>
              <w:top w:val="nil"/>
              <w:left w:val="nil"/>
              <w:bottom w:val="single" w:sz="4" w:space="0" w:color="auto"/>
              <w:right w:val="nil"/>
            </w:tcBorders>
            <w:noWrap/>
            <w:vAlign w:val="bottom"/>
            <w:hideMark/>
          </w:tcPr>
          <w:p w14:paraId="3A9BF4EC"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7.11</w:t>
            </w:r>
          </w:p>
        </w:tc>
        <w:tc>
          <w:tcPr>
            <w:tcW w:w="1540" w:type="dxa"/>
            <w:tcBorders>
              <w:top w:val="nil"/>
              <w:left w:val="nil"/>
              <w:bottom w:val="single" w:sz="4" w:space="0" w:color="auto"/>
              <w:right w:val="nil"/>
            </w:tcBorders>
            <w:noWrap/>
            <w:vAlign w:val="bottom"/>
            <w:hideMark/>
          </w:tcPr>
          <w:p w14:paraId="0C0FE013"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7.29</w:t>
            </w:r>
          </w:p>
        </w:tc>
        <w:tc>
          <w:tcPr>
            <w:tcW w:w="1945" w:type="dxa"/>
            <w:tcBorders>
              <w:top w:val="nil"/>
              <w:left w:val="nil"/>
              <w:bottom w:val="single" w:sz="4" w:space="0" w:color="auto"/>
              <w:right w:val="nil"/>
            </w:tcBorders>
            <w:noWrap/>
            <w:vAlign w:val="bottom"/>
            <w:hideMark/>
          </w:tcPr>
          <w:p w14:paraId="5813E050"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7.30</w:t>
            </w:r>
          </w:p>
        </w:tc>
        <w:tc>
          <w:tcPr>
            <w:tcW w:w="1350" w:type="dxa"/>
            <w:tcBorders>
              <w:top w:val="nil"/>
              <w:left w:val="nil"/>
              <w:bottom w:val="single" w:sz="4" w:space="0" w:color="auto"/>
              <w:right w:val="nil"/>
            </w:tcBorders>
            <w:noWrap/>
            <w:vAlign w:val="bottom"/>
            <w:hideMark/>
          </w:tcPr>
          <w:p w14:paraId="0D914BBC"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7.17</w:t>
            </w:r>
          </w:p>
        </w:tc>
        <w:tc>
          <w:tcPr>
            <w:tcW w:w="1325" w:type="dxa"/>
            <w:tcBorders>
              <w:top w:val="nil"/>
              <w:left w:val="nil"/>
              <w:bottom w:val="single" w:sz="4" w:space="0" w:color="auto"/>
              <w:right w:val="single" w:sz="4" w:space="0" w:color="auto"/>
            </w:tcBorders>
            <w:noWrap/>
            <w:vAlign w:val="bottom"/>
            <w:hideMark/>
          </w:tcPr>
          <w:p w14:paraId="1A1329A4" w14:textId="77777777" w:rsidR="00000000" w:rsidRDefault="00000000">
            <w:pPr>
              <w:jc w:val="center"/>
              <w:rPr>
                <w:rFonts w:ascii="Calibri" w:hAnsi="Calibri" w:cs="Calibri"/>
                <w:color w:val="000000"/>
                <w:sz w:val="22"/>
                <w:szCs w:val="22"/>
              </w:rPr>
            </w:pPr>
            <w:r>
              <w:rPr>
                <w:rFonts w:ascii="Calibri" w:hAnsi="Calibri" w:cs="Calibri"/>
                <w:color w:val="000000"/>
                <w:sz w:val="22"/>
                <w:szCs w:val="22"/>
              </w:rPr>
              <w:t>4.71</w:t>
            </w:r>
          </w:p>
        </w:tc>
      </w:tr>
    </w:tbl>
    <w:p w14:paraId="362BDE7B"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 xml:space="preserve"> (4/3/2013) Problem 14 on page 56 requests a box plot for a data set with over 14,000 records. Unfortunately, StatTools has a bug that prevents this – it fails to create a box plot when there are too many outliers (&gt;64). Palisade is aware of this bug and has promised a fix.</w:t>
      </w:r>
    </w:p>
    <w:p w14:paraId="4C02F305"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(8/26/2013) In the first line on page 42, a word is missing. It should read “… which automatically means that there can be no salaries…”</w:t>
      </w:r>
    </w:p>
    <w:p w14:paraId="2831D498" w14:textId="77777777" w:rsidR="00000000" w:rsidRDefault="00000000">
      <w:pPr>
        <w:pStyle w:val="section1"/>
        <w:outlineLvl w:val="2"/>
        <w:rPr>
          <w:rFonts w:asciiTheme="minorHAnsi" w:hAnsiTheme="minorHAnsi" w:cs="Calibri"/>
          <w:b/>
          <w:bCs/>
          <w:sz w:val="22"/>
          <w:szCs w:val="22"/>
        </w:rPr>
      </w:pPr>
      <w:bookmarkStart w:id="3" w:name="Ch4"/>
      <w:bookmarkEnd w:id="3"/>
      <w:r>
        <w:t>Chapter 3</w:t>
      </w:r>
    </w:p>
    <w:p w14:paraId="1AB59387" w14:textId="77777777" w:rsidR="00000000" w:rsidRDefault="00000000">
      <w:pPr>
        <w:pStyle w:val="section1"/>
        <w:outlineLvl w:val="2"/>
        <w:rPr>
          <w:rFonts w:asciiTheme="minorHAnsi" w:hAnsiTheme="minorHAnsi" w:cs="Calibri"/>
          <w:b/>
          <w:bCs/>
          <w:sz w:val="22"/>
          <w:szCs w:val="22"/>
        </w:rPr>
      </w:pPr>
      <w:r>
        <w:t xml:space="preserve">Chapter 4 </w:t>
      </w:r>
    </w:p>
    <w:p w14:paraId="42E96062" w14:textId="77777777" w:rsidR="00000000" w:rsidRDefault="00000000">
      <w:pPr>
        <w:pStyle w:val="section1"/>
        <w:numPr>
          <w:ilvl w:val="0"/>
          <w:numId w:val="2"/>
        </w:numPr>
        <w:rPr>
          <w:rFonts w:asciiTheme="minorHAnsi" w:hAnsiTheme="minorHAnsi" w:cs="Calibri"/>
          <w:sz w:val="22"/>
          <w:szCs w:val="22"/>
        </w:rPr>
      </w:pPr>
      <w:bookmarkStart w:id="4" w:name="Ch5"/>
      <w:bookmarkEnd w:id="4"/>
      <w:r>
        <w:rPr>
          <w:rFonts w:asciiTheme="minorHAnsi" w:hAnsiTheme="minorHAnsi" w:cs="Calibri"/>
          <w:sz w:val="22"/>
          <w:szCs w:val="22"/>
        </w:rPr>
        <w:t>(6/25/2013) Amazingly, no one caught this until now, but in equation 4.8 on page 168, the left side should obviously be “sigma,” not “sigma-squared.”</w:t>
      </w:r>
    </w:p>
    <w:p w14:paraId="0E236E3D"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(7/15/2014) On page 171, the second line of the calculation for Var(X) should start with “+ 0.3”, not “+ 0.2”. However, the result of the calculation, and the implementation in the referenced Excel file, are both correct.</w:t>
      </w:r>
    </w:p>
    <w:p w14:paraId="0048DD73" w14:textId="77777777" w:rsidR="00000000" w:rsidRDefault="00000000">
      <w:pPr>
        <w:pStyle w:val="section1"/>
        <w:outlineLvl w:val="2"/>
        <w:rPr>
          <w:rFonts w:asciiTheme="minorHAnsi" w:hAnsiTheme="minorHAnsi" w:cs="Calibri"/>
          <w:b/>
          <w:bCs/>
          <w:sz w:val="22"/>
          <w:szCs w:val="22"/>
        </w:rPr>
      </w:pPr>
      <w:r>
        <w:t>Chapter 5</w:t>
      </w:r>
    </w:p>
    <w:p w14:paraId="06643C9A" w14:textId="77777777" w:rsidR="00000000" w:rsidRDefault="00000000">
      <w:pPr>
        <w:pStyle w:val="section1"/>
        <w:numPr>
          <w:ilvl w:val="0"/>
          <w:numId w:val="2"/>
        </w:numPr>
        <w:rPr>
          <w:rFonts w:asciiTheme="minorHAnsi" w:hAnsiTheme="minorHAnsi" w:cs="Calibri"/>
          <w:sz w:val="22"/>
          <w:szCs w:val="22"/>
        </w:rPr>
      </w:pPr>
      <w:bookmarkStart w:id="5" w:name="Ch6"/>
      <w:bookmarkEnd w:id="5"/>
      <w:r>
        <w:rPr>
          <w:rFonts w:asciiTheme="minorHAnsi" w:hAnsiTheme="minorHAnsi" w:cs="Calibri"/>
          <w:sz w:val="22"/>
          <w:szCs w:val="22"/>
        </w:rPr>
        <w:t>(9/8/2010) In Equation 5.2 on page 214, m and s should be replaced by their Greek counterparts. (This was done in later printings of the book.)</w:t>
      </w:r>
    </w:p>
    <w:p w14:paraId="4E759FC9"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(9/19/2010) The third equation for step 2 on page 246 is missing a “&lt;” sign. It should read =IF(RAND()&lt;C18,1,0).</w:t>
      </w:r>
    </w:p>
    <w:p w14:paraId="117FC0F1" w14:textId="77777777" w:rsidR="00000000" w:rsidRDefault="00000000">
      <w:pPr>
        <w:pStyle w:val="section1"/>
        <w:outlineLvl w:val="2"/>
        <w:rPr>
          <w:rFonts w:asciiTheme="minorHAnsi" w:hAnsiTheme="minorHAnsi" w:cs="Calibri"/>
          <w:b/>
          <w:bCs/>
          <w:sz w:val="22"/>
          <w:szCs w:val="22"/>
        </w:rPr>
      </w:pPr>
      <w:r>
        <w:t xml:space="preserve">Chapter 6 </w:t>
      </w:r>
    </w:p>
    <w:p w14:paraId="6D19A5DB" w14:textId="77777777" w:rsidR="00000000" w:rsidRDefault="00000000">
      <w:pPr>
        <w:pStyle w:val="section1"/>
        <w:numPr>
          <w:ilvl w:val="0"/>
          <w:numId w:val="2"/>
        </w:numPr>
        <w:rPr>
          <w:rFonts w:asciiTheme="minorHAnsi" w:hAnsiTheme="minorHAnsi" w:cs="Calibri"/>
          <w:sz w:val="22"/>
          <w:szCs w:val="22"/>
        </w:rPr>
      </w:pPr>
      <w:bookmarkStart w:id="6" w:name="Ch7"/>
      <w:bookmarkEnd w:id="6"/>
      <w:r>
        <w:rPr>
          <w:rFonts w:asciiTheme="minorHAnsi" w:hAnsiTheme="minorHAnsi" w:cs="Calibri"/>
          <w:sz w:val="22"/>
          <w:szCs w:val="22"/>
        </w:rPr>
        <w:t>(9/26/2011) In the numerator of the second equation on page 305, the second term should be P(ND), not P(D). But the numbers to the right of it are correct.</w:t>
      </w:r>
    </w:p>
    <w:p w14:paraId="0BFCA744"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 xml:space="preserve">(12/5/2011) The solution file for problem 55 on page 338 has an error in cell B15. The result in this cell should be 0.385. This changes the results in the text box slightly. </w:t>
      </w:r>
    </w:p>
    <w:p w14:paraId="76A993F9"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(2/16/2012) In equation 6.3 on page 304, there shouldn’t be a subscript n in the last term of the denominator.</w:t>
      </w:r>
    </w:p>
    <w:p w14:paraId="629EA11B" w14:textId="77777777" w:rsidR="00000000" w:rsidRDefault="00000000">
      <w:pPr>
        <w:pStyle w:val="section1"/>
        <w:outlineLvl w:val="2"/>
        <w:rPr>
          <w:rFonts w:asciiTheme="minorHAnsi" w:hAnsiTheme="minorHAnsi" w:cs="Calibri"/>
          <w:b/>
          <w:bCs/>
          <w:sz w:val="22"/>
          <w:szCs w:val="22"/>
        </w:rPr>
      </w:pPr>
      <w:r>
        <w:t xml:space="preserve">Chapter 7 </w:t>
      </w:r>
    </w:p>
    <w:p w14:paraId="7A976724" w14:textId="77777777" w:rsidR="00000000" w:rsidRDefault="00000000">
      <w:pPr>
        <w:pStyle w:val="section1"/>
        <w:numPr>
          <w:ilvl w:val="0"/>
          <w:numId w:val="2"/>
        </w:numPr>
        <w:rPr>
          <w:rFonts w:asciiTheme="minorHAnsi" w:hAnsiTheme="minorHAnsi" w:cs="Calibri"/>
          <w:sz w:val="22"/>
          <w:szCs w:val="22"/>
        </w:rPr>
      </w:pPr>
      <w:bookmarkStart w:id="7" w:name="Ch8"/>
      <w:bookmarkEnd w:id="7"/>
      <w:r>
        <w:rPr>
          <w:rFonts w:asciiTheme="minorHAnsi" w:hAnsiTheme="minorHAnsi" w:cs="Calibri"/>
          <w:sz w:val="22"/>
          <w:szCs w:val="22"/>
        </w:rPr>
        <w:t>(5/18/2011) In the solution to problem 8, the last yellow cell should have the square root of n in the denominator.</w:t>
      </w:r>
    </w:p>
    <w:p w14:paraId="1D5CC438" w14:textId="77777777" w:rsidR="00000000" w:rsidRDefault="00000000">
      <w:pPr>
        <w:pStyle w:val="section1"/>
        <w:outlineLvl w:val="2"/>
        <w:rPr>
          <w:rFonts w:asciiTheme="minorHAnsi" w:hAnsiTheme="minorHAnsi" w:cs="Calibri"/>
          <w:b/>
          <w:bCs/>
          <w:sz w:val="22"/>
          <w:szCs w:val="22"/>
        </w:rPr>
      </w:pPr>
      <w:r>
        <w:t xml:space="preserve">Chapter 8 </w:t>
      </w:r>
    </w:p>
    <w:p w14:paraId="0AE060CE" w14:textId="77777777" w:rsidR="00000000" w:rsidRDefault="00000000">
      <w:pPr>
        <w:pStyle w:val="section1"/>
        <w:numPr>
          <w:ilvl w:val="0"/>
          <w:numId w:val="2"/>
        </w:numPr>
        <w:rPr>
          <w:rFonts w:asciiTheme="minorHAnsi" w:hAnsiTheme="minorHAnsi" w:cs="Calibri"/>
          <w:sz w:val="22"/>
          <w:szCs w:val="22"/>
        </w:rPr>
      </w:pPr>
      <w:bookmarkStart w:id="8" w:name="Ch9"/>
      <w:bookmarkEnd w:id="8"/>
      <w:r>
        <w:rPr>
          <w:rFonts w:asciiTheme="minorHAnsi" w:hAnsiTheme="minorHAnsi" w:cs="Calibri"/>
          <w:sz w:val="22"/>
          <w:szCs w:val="22"/>
        </w:rPr>
        <w:t>(5/18/2011) In the solution to problem 12, the confidence level for the total should be changed to 95%. Nothing else changes.</w:t>
      </w:r>
    </w:p>
    <w:p w14:paraId="5CEE64C0" w14:textId="77777777" w:rsidR="00000000" w:rsidRDefault="00000000">
      <w:pPr>
        <w:pStyle w:val="section1"/>
        <w:outlineLvl w:val="2"/>
        <w:rPr>
          <w:rFonts w:asciiTheme="minorHAnsi" w:hAnsiTheme="minorHAnsi" w:cs="Calibri"/>
          <w:b/>
          <w:bCs/>
          <w:sz w:val="22"/>
          <w:szCs w:val="22"/>
        </w:rPr>
      </w:pPr>
      <w:r>
        <w:t xml:space="preserve">Chapter 9 </w:t>
      </w:r>
    </w:p>
    <w:p w14:paraId="409BF025" w14:textId="77777777" w:rsidR="00000000" w:rsidRDefault="00000000">
      <w:pPr>
        <w:pStyle w:val="section1"/>
        <w:outlineLvl w:val="2"/>
        <w:rPr>
          <w:rFonts w:asciiTheme="minorHAnsi" w:hAnsiTheme="minorHAnsi" w:cs="Calibri"/>
          <w:b/>
          <w:bCs/>
          <w:sz w:val="22"/>
          <w:szCs w:val="22"/>
        </w:rPr>
      </w:pPr>
      <w:bookmarkStart w:id="9" w:name="Ch10"/>
      <w:bookmarkEnd w:id="9"/>
      <w:r>
        <w:t xml:space="preserve">Chapter 10 </w:t>
      </w:r>
    </w:p>
    <w:p w14:paraId="39587F7A" w14:textId="77777777" w:rsidR="00000000" w:rsidRDefault="00000000">
      <w:pPr>
        <w:pStyle w:val="section1"/>
        <w:outlineLvl w:val="2"/>
        <w:rPr>
          <w:rFonts w:asciiTheme="minorHAnsi" w:hAnsiTheme="minorHAnsi" w:cs="Calibri"/>
          <w:b/>
          <w:bCs/>
          <w:sz w:val="22"/>
          <w:szCs w:val="22"/>
        </w:rPr>
      </w:pPr>
      <w:bookmarkStart w:id="10" w:name="Ch11"/>
      <w:bookmarkEnd w:id="10"/>
      <w:r>
        <w:t xml:space="preserve">Chapter 11 </w:t>
      </w:r>
    </w:p>
    <w:p w14:paraId="131F4277" w14:textId="77777777" w:rsidR="00000000" w:rsidRDefault="00000000">
      <w:pPr>
        <w:pStyle w:val="section1"/>
        <w:numPr>
          <w:ilvl w:val="0"/>
          <w:numId w:val="2"/>
        </w:numPr>
        <w:rPr>
          <w:rFonts w:asciiTheme="minorHAnsi" w:hAnsiTheme="minorHAnsi" w:cs="Calibri"/>
          <w:sz w:val="22"/>
          <w:szCs w:val="22"/>
        </w:rPr>
      </w:pPr>
      <w:bookmarkStart w:id="11" w:name="Ch12"/>
      <w:bookmarkEnd w:id="11"/>
      <w:r>
        <w:rPr>
          <w:rFonts w:asciiTheme="minorHAnsi" w:hAnsiTheme="minorHAnsi" w:cs="Calibri"/>
          <w:sz w:val="22"/>
          <w:szCs w:val="22"/>
        </w:rPr>
        <w:t>(12/6/2011) There are some cell reference errors in the paragraph below Figure 11.12 on page 632. The fourth line should reference row 31, not 33. The eighth line should reference cell B31, not B32. Finally, the reference in the following formula and in the line after it should be Regression1!C14, not Regression1!C13. This error is also in the Bank Salaries file. It changes the F ratio to 17.265 in Figure 11.13, but the p-value is still negligible.</w:t>
      </w:r>
    </w:p>
    <w:p w14:paraId="31458C39"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(12/3/2014) The solution to problem 12 on page 615 is wrong. Instructors can request the correct solution if necessary.</w:t>
      </w:r>
    </w:p>
    <w:p w14:paraId="54213B00" w14:textId="77777777" w:rsidR="00000000" w:rsidRDefault="00000000">
      <w:pPr>
        <w:pStyle w:val="section1"/>
        <w:outlineLvl w:val="2"/>
        <w:rPr>
          <w:rFonts w:asciiTheme="minorHAnsi" w:hAnsiTheme="minorHAnsi" w:cs="Calibri"/>
          <w:b/>
          <w:bCs/>
          <w:sz w:val="22"/>
          <w:szCs w:val="22"/>
        </w:rPr>
      </w:pPr>
      <w:r>
        <w:t xml:space="preserve">Chapter 12 </w:t>
      </w:r>
    </w:p>
    <w:p w14:paraId="19E1561B" w14:textId="77777777" w:rsidR="00000000" w:rsidRDefault="00000000">
      <w:pPr>
        <w:pStyle w:val="section1"/>
        <w:numPr>
          <w:ilvl w:val="0"/>
          <w:numId w:val="2"/>
        </w:numPr>
        <w:rPr>
          <w:rFonts w:asciiTheme="minorHAnsi" w:hAnsiTheme="minorHAnsi" w:cs="Calibri"/>
          <w:sz w:val="22"/>
          <w:szCs w:val="22"/>
        </w:rPr>
      </w:pPr>
      <w:bookmarkStart w:id="12" w:name="Ch13"/>
      <w:bookmarkEnd w:id="12"/>
      <w:r>
        <w:rPr>
          <w:rFonts w:asciiTheme="minorHAnsi" w:hAnsiTheme="minorHAnsi" w:cs="Calibri"/>
          <w:sz w:val="22"/>
          <w:szCs w:val="22"/>
        </w:rPr>
        <w:t xml:space="preserve"> (5/18/2011) In the formula in the middle of page 726, Dec2010 should be changed to Dec2008 in the denominator.</w:t>
      </w:r>
    </w:p>
    <w:p w14:paraId="74B0FAE2"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(2/21/2012) The StatTools data set used to create the output for Example 12.7 on pages 730-732 included too many rows, so the percentages quoted at the bottom of page 730 and some of the values in Figures 12.61 and 12.62 are slightly off. If you redefine the StatTools data set to extend only through row 57 and rerun the regression, you will get the correct values.</w:t>
      </w:r>
    </w:p>
    <w:p w14:paraId="4495AF54"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(5/22/2012) I’m surprised that no one has caught this, but I just caught it while preparing the 5</w:t>
      </w:r>
      <w:r>
        <w:rPr>
          <w:rFonts w:asciiTheme="minorHAnsi" w:hAnsiTheme="minorHAnsi" w:cs="Calibri"/>
          <w:sz w:val="22"/>
          <w:szCs w:val="22"/>
          <w:vertAlign w:val="superscript"/>
        </w:rPr>
        <w:t>th</w:t>
      </w:r>
      <w:r>
        <w:rPr>
          <w:rFonts w:asciiTheme="minorHAnsi" w:hAnsiTheme="minorHAnsi" w:cs="Calibri"/>
          <w:sz w:val="22"/>
          <w:szCs w:val="22"/>
        </w:rPr>
        <w:t xml:space="preserve"> edition. The trendline equation on page 689 doesn’t match the regression equation on page 12.18! Here is the reason (it’s not a typo). The time series graph in Figure 12.19 uses the </w:t>
      </w:r>
      <w:r>
        <w:rPr>
          <w:rFonts w:asciiTheme="minorHAnsi" w:hAnsiTheme="minorHAnsi" w:cs="Calibri"/>
          <w:i/>
          <w:iCs/>
          <w:sz w:val="22"/>
          <w:szCs w:val="22"/>
        </w:rPr>
        <w:t xml:space="preserve">dates </w:t>
      </w:r>
      <w:r>
        <w:rPr>
          <w:rFonts w:asciiTheme="minorHAnsi" w:hAnsiTheme="minorHAnsi" w:cs="Calibri"/>
          <w:sz w:val="22"/>
          <w:szCs w:val="22"/>
        </w:rPr>
        <w:t xml:space="preserve">in column A of the Data sheet for the horizontal axis, and dates are really stored as </w:t>
      </w:r>
      <w:r>
        <w:rPr>
          <w:rFonts w:asciiTheme="minorHAnsi" w:hAnsiTheme="minorHAnsi" w:cs="Calibri"/>
          <w:i/>
          <w:iCs/>
          <w:sz w:val="22"/>
          <w:szCs w:val="22"/>
        </w:rPr>
        <w:t>integers</w:t>
      </w:r>
      <w:r>
        <w:rPr>
          <w:rFonts w:asciiTheme="minorHAnsi" w:hAnsiTheme="minorHAnsi" w:cs="Calibri"/>
          <w:sz w:val="22"/>
          <w:szCs w:val="22"/>
        </w:rPr>
        <w:t xml:space="preserve">, corresponding in this example to the first day of each month. (Try formatting column A of the Data sheet as numbers with zero decimals to see this.) The problem is that these numbers aren't equally spaced, due to different number of days in different months. So to make the trendline equation match the regression equation, the integers in column C of the Data sheet should be used for the horizontal axis. </w:t>
      </w:r>
    </w:p>
    <w:p w14:paraId="3D7413D7" w14:textId="77777777" w:rsidR="00000000" w:rsidRDefault="00000000">
      <w:pPr>
        <w:pStyle w:val="section1"/>
        <w:outlineLvl w:val="2"/>
        <w:rPr>
          <w:rFonts w:asciiTheme="minorHAnsi" w:hAnsiTheme="minorHAnsi" w:cs="Calibri"/>
          <w:b/>
          <w:bCs/>
          <w:sz w:val="22"/>
          <w:szCs w:val="22"/>
        </w:rPr>
      </w:pPr>
      <w:r>
        <w:t>Chapter 13</w:t>
      </w:r>
    </w:p>
    <w:p w14:paraId="2929EF48" w14:textId="77777777" w:rsidR="00000000" w:rsidRDefault="00000000">
      <w:pPr>
        <w:pStyle w:val="section1"/>
        <w:numPr>
          <w:ilvl w:val="0"/>
          <w:numId w:val="2"/>
        </w:numPr>
        <w:rPr>
          <w:rFonts w:asciiTheme="minorHAnsi" w:hAnsiTheme="minorHAnsi" w:cs="Calibri"/>
          <w:sz w:val="22"/>
          <w:szCs w:val="22"/>
        </w:rPr>
      </w:pPr>
      <w:bookmarkStart w:id="13" w:name="Ch14"/>
      <w:bookmarkEnd w:id="13"/>
      <w:r>
        <w:rPr>
          <w:rFonts w:asciiTheme="minorHAnsi" w:hAnsiTheme="minorHAnsi" w:cs="Calibri"/>
          <w:sz w:val="22"/>
          <w:szCs w:val="22"/>
        </w:rPr>
        <w:t>(10/29/2010) On #39 on page 804, there is an inconsistency in the problem statement about the overtime rate -- $12 one place, $16 in another. The solution (for instructors) uses $16 throughout. Also on that same problem, you can assume that the holding cost is charged only on finished goods (shirts and pants), not on cloth.</w:t>
      </w:r>
    </w:p>
    <w:p w14:paraId="48CD5E45"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(9/10/2011) In line 5 of the second full paragraph on page 794, change “if the forecasted demands” to “if the errors in the forecasted demands”. Also, it might be more realistic to vary the month 5 and 6 demands over a different range, say, from 6000 to 14000 in increments of 2000 (i.e., from 40% below to 40% above), but the basic result (month 1 production remains the same) still doesn’t change.</w:t>
      </w:r>
    </w:p>
    <w:p w14:paraId="09A650FD"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(10/21/2011) in the second sentence below Figure 13.29 on page 794, switch “the first six rows” and “the last six rows.” That is, the first six rows have to do with demands, and the last six have to do with storage capacities.</w:t>
      </w:r>
    </w:p>
    <w:p w14:paraId="4C7DBE2B"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(10/25/2011) In the LP sheet in the solution file for Case 13.1, the labels in cells A21 and A22 should be reversed.</w:t>
      </w:r>
    </w:p>
    <w:p w14:paraId="0EF563AC"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(11/27/2011) It’s not a big deal, but the intention was to show the isoprofit lines in Figure 13.1, page 751, as dotted lines.</w:t>
      </w:r>
    </w:p>
    <w:p w14:paraId="76FD6E1C" w14:textId="77777777" w:rsidR="00000000" w:rsidRDefault="00000000">
      <w:pPr>
        <w:pStyle w:val="section1"/>
        <w:outlineLvl w:val="2"/>
        <w:rPr>
          <w:rFonts w:asciiTheme="minorHAnsi" w:hAnsiTheme="minorHAnsi" w:cs="Calibri"/>
          <w:b/>
          <w:bCs/>
          <w:sz w:val="22"/>
          <w:szCs w:val="22"/>
        </w:rPr>
      </w:pPr>
      <w:r>
        <w:t xml:space="preserve">Chapter 14 </w:t>
      </w:r>
    </w:p>
    <w:p w14:paraId="737623F3" w14:textId="77777777" w:rsidR="00000000" w:rsidRDefault="00000000">
      <w:pPr>
        <w:pStyle w:val="section1"/>
        <w:numPr>
          <w:ilvl w:val="0"/>
          <w:numId w:val="2"/>
        </w:numPr>
        <w:rPr>
          <w:rFonts w:asciiTheme="minorHAnsi" w:hAnsiTheme="minorHAnsi" w:cs="Calibri"/>
          <w:sz w:val="22"/>
          <w:szCs w:val="22"/>
        </w:rPr>
      </w:pPr>
      <w:bookmarkStart w:id="14" w:name="Ch15"/>
      <w:bookmarkStart w:id="15" w:name="Ch16"/>
      <w:bookmarkEnd w:id="14"/>
      <w:bookmarkEnd w:id="15"/>
      <w:r>
        <w:rPr>
          <w:rFonts w:asciiTheme="minorHAnsi" w:hAnsiTheme="minorHAnsi" w:cs="Calibri"/>
          <w:sz w:val="22"/>
          <w:szCs w:val="22"/>
        </w:rPr>
        <w:t>(5/28/2013) In the first line of the Fundamental Insight on page 874, the algorithm is “branch and bound,” not “brand and bound.”</w:t>
      </w:r>
    </w:p>
    <w:p w14:paraId="164E242E" w14:textId="77777777" w:rsidR="00000000" w:rsidRDefault="00000000">
      <w:pPr>
        <w:pStyle w:val="section1"/>
        <w:outlineLvl w:val="2"/>
        <w:rPr>
          <w:rFonts w:asciiTheme="minorHAnsi" w:hAnsiTheme="minorHAnsi" w:cs="Calibri"/>
          <w:b/>
          <w:bCs/>
          <w:sz w:val="22"/>
          <w:szCs w:val="22"/>
        </w:rPr>
      </w:pPr>
      <w:r>
        <w:t xml:space="preserve">Chapter 15 </w:t>
      </w:r>
    </w:p>
    <w:p w14:paraId="4ECEB8C6"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(2/18/2012) The equation for n near the top of page 582 should have 331.68, not 328.04, in the numerator, and the formula then evaluates to 2817, not 2755.</w:t>
      </w:r>
    </w:p>
    <w:p w14:paraId="6B936961"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(10/1/2012) In Figure 15.37 on page 961, the summary results at the bottom are shown as identical for order quantities of 150 and 200. This is clearly not correct—the results for 150 (column B) are wrong. But they’re correct in the Walton Bookstore 6.xlsx file.</w:t>
      </w:r>
    </w:p>
    <w:p w14:paraId="113EAC32"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(5/13/2013) The solution to problem 27 has a minor error in the MAX formulas in row 21. Their arguments should extend only to row 19, not row 20.</w:t>
      </w:r>
    </w:p>
    <w:p w14:paraId="2C60BAAE" w14:textId="77777777" w:rsidR="00000000" w:rsidRDefault="00000000">
      <w:pPr>
        <w:pStyle w:val="section1"/>
        <w:outlineLvl w:val="2"/>
        <w:rPr>
          <w:rFonts w:asciiTheme="minorHAnsi" w:hAnsiTheme="minorHAnsi" w:cs="Calibri"/>
          <w:b/>
          <w:bCs/>
          <w:sz w:val="22"/>
          <w:szCs w:val="22"/>
        </w:rPr>
      </w:pPr>
      <w:r>
        <w:t>Chapter 16</w:t>
      </w:r>
    </w:p>
    <w:p w14:paraId="15E667C0"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(11/8/2010) There is an ending quote sign in the second formula in step 4 on page 1000. It shouldn’t be there.</w:t>
      </w:r>
    </w:p>
    <w:p w14:paraId="4326EF9D"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(11/8/2010) The third line on page 1001 should begin with “Not yet” (not “Not enough”).</w:t>
      </w:r>
    </w:p>
    <w:p w14:paraId="47C34316"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(11/27/2011) In problem 63 in chapter 16, 2</w:t>
      </w:r>
      <w:r>
        <w:rPr>
          <w:rFonts w:asciiTheme="minorHAnsi" w:hAnsiTheme="minorHAnsi" w:cs="Calibri"/>
          <w:sz w:val="22"/>
          <w:szCs w:val="22"/>
          <w:vertAlign w:val="superscript"/>
        </w:rPr>
        <w:t>nd</w:t>
      </w:r>
      <w:r>
        <w:rPr>
          <w:rFonts w:asciiTheme="minorHAnsi" w:hAnsiTheme="minorHAnsi" w:cs="Calibri"/>
          <w:sz w:val="22"/>
          <w:szCs w:val="22"/>
        </w:rPr>
        <w:t xml:space="preserve"> line from bottom on the left and 2</w:t>
      </w:r>
      <w:r>
        <w:rPr>
          <w:rFonts w:asciiTheme="minorHAnsi" w:hAnsiTheme="minorHAnsi" w:cs="Calibri"/>
          <w:sz w:val="22"/>
          <w:szCs w:val="22"/>
          <w:vertAlign w:val="superscript"/>
        </w:rPr>
        <w:t>nd</w:t>
      </w:r>
      <w:r>
        <w:rPr>
          <w:rFonts w:asciiTheme="minorHAnsi" w:hAnsiTheme="minorHAnsi" w:cs="Calibri"/>
          <w:sz w:val="22"/>
          <w:szCs w:val="22"/>
        </w:rPr>
        <w:t xml:space="preserve"> line from top on the right, change “discontinue” to “continue”.</w:t>
      </w:r>
    </w:p>
    <w:p w14:paraId="28F16FCC"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(4/25/2012) In the solutions to problems 16.10 and 16.11, the formulas in row 41 should be changed to match those in the cash balance example, i.e., the second sum should extend to row 39.</w:t>
      </w:r>
    </w:p>
    <w:p w14:paraId="515A9F8D"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(2/23/2013) The solution to problem 16.5 on page 1004 is logically correct, but its inputs don’t match the inputs in Example 16.2. Specifically, the discount rate should be changed in all parts from 12% to 8%, the replacement cost to the company should be changed to $225, and the cost of a new camera to the customer should be changed to $400 (and the instruction in part a to increase the cost to $300 should be modified to $450).</w:t>
      </w:r>
    </w:p>
    <w:p w14:paraId="1CA7D824"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 xml:space="preserve">(6/1/2013) For the cash balance example (Example 16.5), one user suggested that the formula for total interest in cell B46 should sum only through June, i.e., not include July. You could argue it either way, so feel free to change the formula in cell B46 if you like. </w:t>
      </w:r>
    </w:p>
    <w:p w14:paraId="6E1B907A" w14:textId="77777777" w:rsidR="00000000" w:rsidRDefault="00000000">
      <w:pPr>
        <w:pStyle w:val="section1"/>
        <w:outlineLvl w:val="2"/>
        <w:rPr>
          <w:rFonts w:asciiTheme="minorHAnsi" w:hAnsiTheme="minorHAnsi" w:cs="Calibri"/>
          <w:b/>
          <w:bCs/>
          <w:sz w:val="22"/>
          <w:szCs w:val="22"/>
        </w:rPr>
      </w:pPr>
      <w:r>
        <w:t xml:space="preserve">Chapter 17 </w:t>
      </w:r>
    </w:p>
    <w:p w14:paraId="32828963" w14:textId="77777777" w:rsidR="00000000" w:rsidRDefault="00000000">
      <w:pPr>
        <w:jc w:val="center"/>
        <w:divId w:val="57630388"/>
      </w:pPr>
      <w:r>
        <w:pict w14:anchorId="77A1EBDE">
          <v:rect id="_x0000_i1025" style="width:6in;height:1.5pt" o:hralign="center" o:hrstd="t" o:hr="t" fillcolor="#a0a0a0" stroked="f"/>
        </w:pict>
      </w:r>
    </w:p>
    <w:p w14:paraId="54DD788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5" w:history="1">
        <w:r>
          <w:rPr>
            <w:rStyle w:val="Hyperlink"/>
            <w:rFonts w:asciiTheme="minorHAnsi" w:hAnsiTheme="minorHAnsi" w:cs="Calibri"/>
            <w:sz w:val="22"/>
          </w:rPr>
          <w:t>Cengage</w:t>
        </w:r>
      </w:hyperlink>
      <w:r>
        <w:rPr>
          <w:rFonts w:asciiTheme="minorHAnsi" w:hAnsiTheme="minorHAnsi" w:cs="Calibri"/>
          <w:sz w:val="22"/>
          <w:szCs w:val="22"/>
        </w:rPr>
        <w:t xml:space="preserve"> site for our books.</w:t>
      </w:r>
    </w:p>
    <w:p w14:paraId="4F668E0A"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6"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2C64072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4731DC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7"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8"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1F499D5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66257109" w14:textId="6B7E7638"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9" w:history="1">
        <w:r>
          <w:rPr>
            <w:rStyle w:val="Hyperlink"/>
            <w:rFonts w:asciiTheme="minorHAnsi" w:hAnsiTheme="minorHAnsi" w:cs="Calibri"/>
            <w:sz w:val="22"/>
            <w:szCs w:val="22"/>
          </w:rPr>
          <w:t>home page</w:t>
        </w:r>
      </w:hyperlink>
    </w:p>
    <w:p w14:paraId="456E5816" w14:textId="77777777" w:rsidR="00000000" w:rsidRDefault="00000000">
      <w:pPr>
        <w:spacing w:before="100" w:beforeAutospacing="1" w:after="100" w:afterAutospacing="1"/>
        <w:rPr>
          <w:rFonts w:asciiTheme="minorHAnsi" w:hAnsiTheme="minorHAnsi" w:cs="Calibri"/>
          <w:sz w:val="22"/>
          <w:szCs w:val="22"/>
        </w:rPr>
      </w:pPr>
      <w:r>
        <w:rPr>
          <w:rFonts w:asciiTheme="minorHAnsi" w:hAnsiTheme="minorHAnsi" w:cs="Calibri"/>
          <w:sz w:val="22"/>
          <w:szCs w:val="22"/>
        </w:rPr>
        <w:t>Updated: 1/13/2015</w:t>
      </w:r>
    </w:p>
    <w:p w14:paraId="35361A76" w14:textId="77777777" w:rsidR="00896A28" w:rsidRDefault="00896A28">
      <w:pPr>
        <w:pStyle w:val="section1"/>
        <w:spacing w:before="0" w:beforeAutospacing="0" w:after="0" w:afterAutospacing="0"/>
        <w:rPr>
          <w:rFonts w:asciiTheme="minorHAnsi" w:hAnsiTheme="minorHAnsi" w:cs="Calibri"/>
          <w:sz w:val="22"/>
          <w:szCs w:val="22"/>
        </w:rPr>
      </w:pPr>
    </w:p>
    <w:sectPr w:rsidR="00896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D05E4"/>
    <w:multiLevelType w:val="multilevel"/>
    <w:tmpl w:val="79AE9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38544262">
    <w:abstractNumId w:val="0"/>
  </w:num>
  <w:num w:numId="2" w16cid:durableId="4009101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B3B1D"/>
    <w:rsid w:val="00896A28"/>
    <w:rsid w:val="009B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F1FA3"/>
  <w15:chartTrackingRefBased/>
  <w15:docId w15:val="{51F0DD44-CF24-481F-B401-8F9C9E6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section1">
    <w:name w:val="section1"/>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0388">
      <w:marLeft w:val="0"/>
      <w:marRight w:val="0"/>
      <w:marTop w:val="100"/>
      <w:marBottom w:val="10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isade.com/" TargetMode="External"/><Relationship Id="rId3" Type="http://schemas.openxmlformats.org/officeDocument/2006/relationships/settings" Target="settings.xml"/><Relationship Id="rId7" Type="http://schemas.openxmlformats.org/officeDocument/2006/relationships/hyperlink" Target="http://www.kelley.india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right@indiana.edu" TargetMode="External"/><Relationship Id="rId11" Type="http://schemas.openxmlformats.org/officeDocument/2006/relationships/theme" Target="theme/theme1.xml"/><Relationship Id="rId5" Type="http://schemas.openxmlformats.org/officeDocument/2006/relationships/hyperlink" Target="http://www.cengage.com/decisionsciences/albrigh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hris\Dropbox\My%20Books\Web%20Sit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1319</Words>
  <Characters>7524</Characters>
  <Application>Microsoft Office Word</Application>
  <DocSecurity>0</DocSecurity>
  <Lines>62</Lines>
  <Paragraphs>17</Paragraphs>
  <ScaleCrop>false</ScaleCrop>
  <Company>Indiana University</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2023-03-10T20:04:00Z</dcterms:created>
  <dcterms:modified xsi:type="dcterms:W3CDTF">2023-03-10T20:04:00Z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