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B13DF" w14:textId="77777777" w:rsidR="00000000" w:rsidRDefault="00000000">
      <w:pPr>
        <w:pStyle w:val="section1"/>
        <w:shd w:val="clear" w:color="auto" w:fill="943634" w:themeFill="accent2" w:themeFillShade="BF"/>
        <w:spacing w:before="0" w:beforeAutospacing="0" w:after="300" w:afterAutospacing="0"/>
        <w:contextualSpacing/>
        <w:rPr>
          <w:rFonts w:asciiTheme="majorHAnsi" w:hAnsiTheme="majorHAnsi"/>
          <w:color w:val="FFFFFF" w:themeColor="background1"/>
          <w:sz w:val="36"/>
        </w:rPr>
      </w:pPr>
      <w:r>
        <w:rPr>
          <w:rFonts w:asciiTheme="majorHAnsi" w:hAnsiTheme="majorHAnsi"/>
          <w:i/>
          <w:color w:val="FFFFFF" w:themeColor="background1"/>
          <w:sz w:val="36"/>
        </w:rPr>
        <w:t>Practical Management Science</w:t>
      </w:r>
      <w:r>
        <w:rPr>
          <w:rFonts w:asciiTheme="majorHAnsi" w:hAnsiTheme="majorHAnsi"/>
          <w:color w:val="FFFFFF" w:themeColor="background1"/>
          <w:sz w:val="36"/>
        </w:rPr>
        <w:t>, 5e</w:t>
      </w:r>
    </w:p>
    <w:p w14:paraId="75D61CF0" w14:textId="77777777" w:rsidR="00000000" w:rsidRDefault="00000000">
      <w:pPr>
        <w:pStyle w:val="section1"/>
        <w:shd w:val="clear" w:color="auto" w:fill="943634" w:themeFill="accent2" w:themeFillShade="BF"/>
        <w:spacing w:before="0" w:beforeAutospacing="0" w:after="300" w:afterAutospacing="0"/>
        <w:contextualSpacing/>
        <w:rPr>
          <w:rFonts w:asciiTheme="majorHAnsi" w:eastAsiaTheme="majorEastAsia" w:hAnsiTheme="majorHAnsi" w:cstheme="majorBidi"/>
          <w:color w:val="FFFFFF" w:themeColor="background1"/>
          <w:spacing w:val="5"/>
          <w:kern w:val="28"/>
          <w:sz w:val="96"/>
          <w:szCs w:val="52"/>
        </w:rPr>
      </w:pPr>
      <w:r>
        <w:rPr>
          <w:rFonts w:asciiTheme="majorHAnsi" w:hAnsiTheme="majorHAnsi"/>
          <w:color w:val="FFFFFF" w:themeColor="background1"/>
          <w:sz w:val="36"/>
        </w:rPr>
        <w:t>Albright, Winston</w:t>
      </w:r>
    </w:p>
    <w:p w14:paraId="3221159B" w14:textId="77777777" w:rsidR="00000000" w:rsidRDefault="00000000">
      <w:pPr>
        <w:pStyle w:val="section1"/>
        <w:rPr>
          <w:rFonts w:asciiTheme="minorHAnsi" w:hAnsiTheme="minorHAnsi" w:cs="Calibri"/>
          <w:sz w:val="22"/>
          <w:szCs w:val="22"/>
        </w:rPr>
      </w:pPr>
    </w:p>
    <w:p w14:paraId="3A469CDF"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We tried to correct all the typos, bad numbers, wrong solutions, and so forth from the second edition, but with so many details, we probably missed a few. As we (or you) find errors, we'll list them on this page by chapter. Note that if there is an error in a solution file for some problem, we will try to indicate a way to fix the error without "giving away" the solution to students who might be reading this page.</w:t>
      </w:r>
    </w:p>
    <w:p w14:paraId="41FCEE61"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Note: The date of the correction is listed.</w:t>
      </w:r>
    </w:p>
    <w:p w14:paraId="1F51D123" w14:textId="77777777" w:rsidR="00000000" w:rsidRDefault="00000000">
      <w:pPr>
        <w:pStyle w:val="section1"/>
        <w:outlineLvl w:val="2"/>
        <w:rPr>
          <w:b/>
          <w:bCs/>
        </w:rPr>
      </w:pPr>
      <w:bookmarkStart w:id="0" w:name="Ch1"/>
      <w:bookmarkStart w:id="1" w:name="Ch2"/>
      <w:bookmarkEnd w:id="0"/>
      <w:bookmarkEnd w:id="1"/>
      <w:r>
        <w:rPr>
          <w:rFonts w:asciiTheme="minorHAnsi" w:hAnsiTheme="minorHAnsi" w:cs="Calibri"/>
          <w:b/>
          <w:sz w:val="22"/>
          <w:szCs w:val="22"/>
        </w:rPr>
        <w:t>Chapter 1</w:t>
      </w:r>
    </w:p>
    <w:p w14:paraId="20D0F3A6"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2</w:t>
      </w:r>
    </w:p>
    <w:p w14:paraId="0B1FE92C" w14:textId="20C1F2CE" w:rsidR="00000000" w:rsidRDefault="00000000">
      <w:pPr>
        <w:pStyle w:val="section1"/>
        <w:numPr>
          <w:ilvl w:val="0"/>
          <w:numId w:val="2"/>
        </w:numPr>
        <w:outlineLvl w:val="2"/>
        <w:rPr>
          <w:rFonts w:asciiTheme="minorHAnsi" w:hAnsiTheme="minorHAnsi" w:cs="Calibri"/>
          <w:sz w:val="22"/>
          <w:szCs w:val="22"/>
        </w:rPr>
      </w:pPr>
      <w:bookmarkStart w:id="2" w:name="Ch3"/>
      <w:bookmarkEnd w:id="2"/>
      <w:r>
        <w:rPr>
          <w:rFonts w:asciiTheme="minorHAnsi" w:hAnsiTheme="minorHAnsi" w:cs="Calibri"/>
          <w:sz w:val="22"/>
          <w:szCs w:val="22"/>
        </w:rPr>
        <w:t xml:space="preserve">(10/24/2016) Problems 43 and 46 mention blue and gray coloring in the associated problem files, but that coloring was omitted. Here are the problem files with the coloring: </w:t>
      </w:r>
      <w:hyperlink r:id="rId5" w:history="1">
        <w:r>
          <w:rPr>
            <w:rStyle w:val="Hyperlink"/>
            <w:rFonts w:asciiTheme="minorHAnsi" w:hAnsiTheme="minorHAnsi" w:cs="Calibri"/>
            <w:sz w:val="22"/>
            <w:szCs w:val="22"/>
          </w:rPr>
          <w:t>P02_43.xlsx</w:t>
        </w:r>
      </w:hyperlink>
      <w:r>
        <w:rPr>
          <w:rFonts w:asciiTheme="minorHAnsi" w:hAnsiTheme="minorHAnsi" w:cs="Calibri"/>
          <w:sz w:val="22"/>
          <w:szCs w:val="22"/>
        </w:rPr>
        <w:t xml:space="preserve"> and </w:t>
      </w:r>
      <w:hyperlink r:id="rId6" w:history="1">
        <w:r>
          <w:rPr>
            <w:rStyle w:val="Hyperlink"/>
            <w:rFonts w:asciiTheme="minorHAnsi" w:hAnsiTheme="minorHAnsi" w:cs="Calibri"/>
            <w:sz w:val="22"/>
            <w:szCs w:val="22"/>
          </w:rPr>
          <w:t>P02_46.xlsx</w:t>
        </w:r>
      </w:hyperlink>
      <w:r>
        <w:rPr>
          <w:rFonts w:asciiTheme="minorHAnsi" w:hAnsiTheme="minorHAnsi" w:cs="Calibri"/>
          <w:sz w:val="22"/>
          <w:szCs w:val="22"/>
        </w:rPr>
        <w:t>.</w:t>
      </w:r>
    </w:p>
    <w:p w14:paraId="6240E37F"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3</w:t>
      </w:r>
    </w:p>
    <w:p w14:paraId="6E6466E9" w14:textId="77777777" w:rsidR="00000000" w:rsidRDefault="00000000">
      <w:pPr>
        <w:pStyle w:val="section1"/>
        <w:numPr>
          <w:ilvl w:val="0"/>
          <w:numId w:val="2"/>
        </w:numPr>
        <w:outlineLvl w:val="2"/>
        <w:rPr>
          <w:rFonts w:asciiTheme="minorHAnsi" w:hAnsiTheme="minorHAnsi" w:cs="Calibri"/>
          <w:sz w:val="22"/>
          <w:szCs w:val="22"/>
        </w:rPr>
      </w:pPr>
      <w:bookmarkStart w:id="3" w:name="Ch4"/>
      <w:bookmarkEnd w:id="3"/>
      <w:r>
        <w:rPr>
          <w:rFonts w:asciiTheme="minorHAnsi" w:hAnsiTheme="minorHAnsi" w:cs="Calibri"/>
          <w:sz w:val="22"/>
          <w:szCs w:val="22"/>
        </w:rPr>
        <w:t xml:space="preserve">(2/3/2015) There is a reference to the file </w:t>
      </w:r>
      <w:r>
        <w:rPr>
          <w:rFonts w:asciiTheme="minorHAnsi" w:hAnsiTheme="minorHAnsi" w:cs="Calibri"/>
          <w:b/>
          <w:sz w:val="22"/>
          <w:szCs w:val="22"/>
        </w:rPr>
        <w:t xml:space="preserve">Production Scheduling.xlsx </w:t>
      </w:r>
      <w:r>
        <w:rPr>
          <w:rFonts w:asciiTheme="minorHAnsi" w:hAnsiTheme="minorHAnsi" w:cs="Calibri"/>
          <w:sz w:val="22"/>
          <w:szCs w:val="22"/>
        </w:rPr>
        <w:t xml:space="preserve">on page 114. That file was renamed </w:t>
      </w:r>
      <w:r>
        <w:rPr>
          <w:rFonts w:asciiTheme="minorHAnsi" w:hAnsiTheme="minorHAnsi" w:cs="Calibri"/>
          <w:b/>
          <w:sz w:val="22"/>
          <w:szCs w:val="22"/>
        </w:rPr>
        <w:t>Production Planning.xlsx</w:t>
      </w:r>
      <w:r>
        <w:rPr>
          <w:rFonts w:asciiTheme="minorHAnsi" w:hAnsiTheme="minorHAnsi" w:cs="Calibri"/>
          <w:sz w:val="22"/>
          <w:szCs w:val="22"/>
        </w:rPr>
        <w:t>, the name you’ll find in the example files folders.</w:t>
      </w:r>
    </w:p>
    <w:p w14:paraId="1CCCE871"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(10/2/2015) In the graph in the solution to problem 25, the objective line should be steep, not shallow, and there is some distortion (the scales on the two axes aren’t exactly the same). Otherwise, the graph is basically correct.</w:t>
      </w:r>
    </w:p>
    <w:p w14:paraId="7BFDEAD3"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4</w:t>
      </w:r>
    </w:p>
    <w:p w14:paraId="57268E32" w14:textId="77777777" w:rsidR="00000000" w:rsidRDefault="00000000">
      <w:pPr>
        <w:pStyle w:val="section1"/>
        <w:numPr>
          <w:ilvl w:val="0"/>
          <w:numId w:val="2"/>
        </w:numPr>
        <w:outlineLvl w:val="2"/>
        <w:rPr>
          <w:rFonts w:asciiTheme="minorHAnsi" w:hAnsiTheme="minorHAnsi" w:cs="Calibri"/>
          <w:sz w:val="22"/>
          <w:szCs w:val="22"/>
        </w:rPr>
      </w:pPr>
      <w:bookmarkStart w:id="4" w:name="Ch5"/>
      <w:bookmarkStart w:id="5" w:name="Ch6"/>
      <w:bookmarkEnd w:id="4"/>
      <w:bookmarkEnd w:id="5"/>
      <w:r>
        <w:rPr>
          <w:rFonts w:asciiTheme="minorHAnsi" w:hAnsiTheme="minorHAnsi" w:cs="Calibri"/>
          <w:sz w:val="22"/>
          <w:szCs w:val="22"/>
        </w:rPr>
        <w:t xml:space="preserve">(2/3/2015) The file </w:t>
      </w:r>
      <w:r>
        <w:rPr>
          <w:rFonts w:asciiTheme="minorHAnsi" w:hAnsiTheme="minorHAnsi" w:cs="Calibri"/>
          <w:b/>
          <w:sz w:val="22"/>
          <w:szCs w:val="22"/>
        </w:rPr>
        <w:t xml:space="preserve">Advertising 2.xlsx </w:t>
      </w:r>
      <w:r>
        <w:rPr>
          <w:rFonts w:asciiTheme="minorHAnsi" w:hAnsiTheme="minorHAnsi" w:cs="Calibri"/>
          <w:sz w:val="22"/>
          <w:szCs w:val="22"/>
        </w:rPr>
        <w:t xml:space="preserve">is mentioned on page 141. There is indeed a finished version of this file in the example files folder, but there isn’t a “template” version. You can use the template called </w:t>
      </w:r>
      <w:r>
        <w:rPr>
          <w:rFonts w:asciiTheme="minorHAnsi" w:hAnsiTheme="minorHAnsi" w:cs="Calibri"/>
          <w:b/>
          <w:sz w:val="22"/>
          <w:szCs w:val="22"/>
        </w:rPr>
        <w:t xml:space="preserve">Advertising 1.xlsx </w:t>
      </w:r>
      <w:r>
        <w:rPr>
          <w:rFonts w:asciiTheme="minorHAnsi" w:hAnsiTheme="minorHAnsi" w:cs="Calibri"/>
          <w:sz w:val="22"/>
          <w:szCs w:val="22"/>
        </w:rPr>
        <w:t>instead.</w:t>
      </w:r>
    </w:p>
    <w:p w14:paraId="7D2A0394"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5</w:t>
      </w:r>
    </w:p>
    <w:p w14:paraId="4FD848CA"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(6/23/2015) At the top of page 235, the verbal description of the optimal solution for the assignment model doesn’t match the solution shown in Figure 5.14 (or the solution in the file). However, the solution in the verbal solution is also feasible and has an objective value of 14, so it is also optimal. I think it was the solution found in an earlier edition of the book.</w:t>
      </w:r>
    </w:p>
    <w:p w14:paraId="376D4952" w14:textId="7247E0F9"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 xml:space="preserve">(1/3/2017) The data file for problem 45 on page 268 includes data for only 10 routes, not the 12 stated in the problem. Here is a link to the data file used in the solution: </w:t>
      </w:r>
      <w:hyperlink r:id="rId7" w:history="1">
        <w:r>
          <w:rPr>
            <w:rStyle w:val="Hyperlink"/>
            <w:rFonts w:asciiTheme="minorHAnsi" w:hAnsiTheme="minorHAnsi" w:cs="Calibri"/>
            <w:sz w:val="22"/>
            <w:szCs w:val="22"/>
          </w:rPr>
          <w:t>P05_45 PMS 5e.xlsx</w:t>
        </w:r>
      </w:hyperlink>
      <w:r>
        <w:rPr>
          <w:rFonts w:asciiTheme="minorHAnsi" w:hAnsiTheme="minorHAnsi" w:cs="Calibri"/>
          <w:sz w:val="22"/>
          <w:szCs w:val="22"/>
        </w:rPr>
        <w:t>.</w:t>
      </w:r>
    </w:p>
    <w:p w14:paraId="76A2A3C1"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(1/3/2017) The statement of problem 62 on page 270 doesn’t match the solution. The easiest fix is to change the problem statement. Replace “Delko can … applied for jobs” with “Delko can hire eight types of people. Each type is qualified to perform two or more types of jobs, as shown in this same file, along with the number of each type who have applied for jobs”.</w:t>
      </w:r>
    </w:p>
    <w:p w14:paraId="58712291" w14:textId="77777777" w:rsidR="00000000" w:rsidRDefault="00000000">
      <w:pPr>
        <w:pStyle w:val="section1"/>
        <w:outlineLvl w:val="2"/>
        <w:rPr>
          <w:b/>
          <w:bCs/>
        </w:rPr>
      </w:pPr>
      <w:r>
        <w:rPr>
          <w:rFonts w:asciiTheme="minorHAnsi" w:hAnsiTheme="minorHAnsi" w:cs="Calibri"/>
          <w:b/>
          <w:sz w:val="22"/>
          <w:szCs w:val="22"/>
        </w:rPr>
        <w:t>Chapter 6</w:t>
      </w:r>
    </w:p>
    <w:p w14:paraId="0747ED78" w14:textId="77777777" w:rsidR="00000000" w:rsidRDefault="00000000">
      <w:pPr>
        <w:pStyle w:val="section1"/>
        <w:numPr>
          <w:ilvl w:val="0"/>
          <w:numId w:val="2"/>
        </w:numPr>
        <w:outlineLvl w:val="2"/>
        <w:rPr>
          <w:rFonts w:asciiTheme="minorHAnsi" w:hAnsiTheme="minorHAnsi" w:cs="Calibri"/>
          <w:sz w:val="22"/>
          <w:szCs w:val="22"/>
        </w:rPr>
      </w:pPr>
      <w:bookmarkStart w:id="6" w:name="Ch7"/>
      <w:bookmarkStart w:id="7" w:name="Ch10"/>
      <w:bookmarkEnd w:id="6"/>
      <w:bookmarkEnd w:id="7"/>
      <w:r>
        <w:rPr>
          <w:rFonts w:asciiTheme="minorHAnsi" w:hAnsiTheme="minorHAnsi" w:cs="Calibri"/>
          <w:sz w:val="22"/>
          <w:szCs w:val="22"/>
        </w:rPr>
        <w:t>(10/17/2015) The solution to problem 6.68 on page 331 is incorrect. First, the formula for the objective should reference row 27, not row 26. Second, with a requirement of 150 tons, as stated in the problem, there is no feasible solution. To get a feasible solution, change this requirement to a lower value, such as 25.</w:t>
      </w:r>
    </w:p>
    <w:p w14:paraId="6D6DD16F" w14:textId="77777777" w:rsidR="00000000" w:rsidRDefault="00000000">
      <w:pPr>
        <w:pStyle w:val="section1"/>
        <w:outlineLvl w:val="2"/>
        <w:rPr>
          <w:b/>
          <w:bCs/>
        </w:rPr>
      </w:pPr>
      <w:r>
        <w:rPr>
          <w:rFonts w:asciiTheme="minorHAnsi" w:hAnsiTheme="minorHAnsi" w:cs="Calibri"/>
          <w:b/>
          <w:sz w:val="22"/>
          <w:szCs w:val="22"/>
        </w:rPr>
        <w:t>Chapter 7</w:t>
      </w:r>
    </w:p>
    <w:p w14:paraId="29087C0C"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 xml:space="preserve">(11/1/2016) Equation 7.10 on page 396 is missing the error term </w:t>
      </w:r>
      <w:r>
        <w:rPr>
          <w:rFonts w:ascii="Symbol" w:hAnsi="Symbol" w:cs="Calibri"/>
          <w:sz w:val="22"/>
          <w:szCs w:val="22"/>
        </w:rPr>
        <w:t>e</w:t>
      </w:r>
      <w:r>
        <w:rPr>
          <w:rFonts w:asciiTheme="minorHAnsi" w:hAnsiTheme="minorHAnsi" w:cs="Calibri"/>
          <w:sz w:val="22"/>
          <w:szCs w:val="22"/>
        </w:rPr>
        <w:t xml:space="preserve"> at the end.</w:t>
      </w:r>
    </w:p>
    <w:p w14:paraId="458BA16A" w14:textId="77777777" w:rsidR="00000000" w:rsidRDefault="00000000">
      <w:pPr>
        <w:pStyle w:val="section1"/>
        <w:outlineLvl w:val="2"/>
        <w:rPr>
          <w:b/>
          <w:bCs/>
        </w:rPr>
      </w:pPr>
      <w:r>
        <w:rPr>
          <w:rFonts w:asciiTheme="minorHAnsi" w:hAnsiTheme="minorHAnsi" w:cs="Calibri"/>
          <w:b/>
          <w:sz w:val="22"/>
          <w:szCs w:val="22"/>
        </w:rPr>
        <w:t>Chapter 8</w:t>
      </w:r>
    </w:p>
    <w:p w14:paraId="18BC3D2C"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(11/23/2017) The statement about unused capacity in the next-to-last line on page 429 isn’t quite correct. Only compartment 4 has unused capacity.</w:t>
      </w:r>
    </w:p>
    <w:p w14:paraId="08837669" w14:textId="77777777" w:rsidR="00000000" w:rsidRDefault="00000000">
      <w:pPr>
        <w:pStyle w:val="section1"/>
        <w:numPr>
          <w:ilvl w:val="0"/>
          <w:numId w:val="2"/>
        </w:numPr>
        <w:outlineLvl w:val="2"/>
        <w:rPr>
          <w:rFonts w:asciiTheme="minorHAnsi" w:hAnsiTheme="minorHAnsi" w:cs="Calibri"/>
          <w:sz w:val="22"/>
          <w:szCs w:val="22"/>
        </w:rPr>
      </w:pPr>
      <w:bookmarkStart w:id="8" w:name="_Hlk499210209"/>
      <w:r>
        <w:rPr>
          <w:rFonts w:asciiTheme="minorHAnsi" w:hAnsiTheme="minorHAnsi" w:cs="Calibri"/>
          <w:sz w:val="22"/>
          <w:szCs w:val="22"/>
        </w:rPr>
        <w:t xml:space="preserve">(11/23/2017) In Example 8.4, you might take issue with the way model changeovers are handled, as described in the first bullet on page 432. This is probably a fault of our “changeover” terminology. Our meaning is that there is a penalty in any week for each model that is produced at a positive level – regardless of whether that model was produced at a positive level in the </w:t>
      </w:r>
      <w:r>
        <w:rPr>
          <w:rFonts w:asciiTheme="minorHAnsi" w:hAnsiTheme="minorHAnsi" w:cs="Calibri"/>
          <w:i/>
          <w:sz w:val="22"/>
          <w:szCs w:val="22"/>
        </w:rPr>
        <w:t xml:space="preserve">previous </w:t>
      </w:r>
      <w:r>
        <w:rPr>
          <w:rFonts w:asciiTheme="minorHAnsi" w:hAnsiTheme="minorHAnsi" w:cs="Calibri"/>
          <w:sz w:val="22"/>
          <w:szCs w:val="22"/>
        </w:rPr>
        <w:t>week.</w:t>
      </w:r>
    </w:p>
    <w:bookmarkEnd w:id="8"/>
    <w:p w14:paraId="3662612D" w14:textId="77777777" w:rsidR="00000000" w:rsidRDefault="00000000">
      <w:pPr>
        <w:pStyle w:val="section1"/>
        <w:outlineLvl w:val="2"/>
        <w:rPr>
          <w:b/>
          <w:bCs/>
        </w:rPr>
      </w:pPr>
      <w:r>
        <w:rPr>
          <w:rFonts w:asciiTheme="minorHAnsi" w:hAnsiTheme="minorHAnsi" w:cs="Calibri"/>
          <w:b/>
          <w:sz w:val="22"/>
          <w:szCs w:val="22"/>
        </w:rPr>
        <w:t>Chapter 9</w:t>
      </w:r>
    </w:p>
    <w:p w14:paraId="7736DCAD"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(4/21/2015) The solution to problem 59 on page 516 has an error. The problem is that the data file (P9_529.xlsx) has the likelihoods transposed from the way they’re presented in the rest of the Bayes’ rule examples. If you transpose them in the solution, it will be correct.</w:t>
      </w:r>
    </w:p>
    <w:p w14:paraId="0EBCD72E"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(8/11/2015) Figure 9.30 on page 508 displays expected utilities, not certainty equivalents. However, the certainty equivalents can be shown in the example file.</w:t>
      </w:r>
    </w:p>
    <w:p w14:paraId="7D97BCC6"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(10/2/2015) In formula 9.2 on page 493, the subscripts on the last two O’s should both be n.</w:t>
      </w:r>
    </w:p>
    <w:p w14:paraId="4131F98E"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(10/2/2015) The two EVPI formulas at the top of page 498 use the right logic, but they have the probabilities reversed. E.g., the first formula should be (0.4)(6.8)+(0.6)(0) – 1.4 = $1.32.</w:t>
      </w:r>
    </w:p>
    <w:p w14:paraId="353F9FB8"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10</w:t>
      </w:r>
    </w:p>
    <w:p w14:paraId="64DF153B" w14:textId="77777777" w:rsidR="00000000" w:rsidRDefault="00000000">
      <w:pPr>
        <w:pStyle w:val="section1"/>
        <w:numPr>
          <w:ilvl w:val="0"/>
          <w:numId w:val="2"/>
        </w:numPr>
        <w:outlineLvl w:val="2"/>
        <w:rPr>
          <w:rFonts w:asciiTheme="minorHAnsi" w:hAnsiTheme="minorHAnsi" w:cs="Calibri"/>
          <w:sz w:val="22"/>
          <w:szCs w:val="22"/>
        </w:rPr>
      </w:pPr>
      <w:bookmarkStart w:id="9" w:name="Ch11"/>
      <w:bookmarkEnd w:id="9"/>
      <w:r>
        <w:rPr>
          <w:rFonts w:asciiTheme="minorHAnsi" w:hAnsiTheme="minorHAnsi" w:cs="Calibri"/>
          <w:sz w:val="22"/>
          <w:szCs w:val="22"/>
        </w:rPr>
        <w:t>(8/24/2015) In the fourth line of the first full paragraph on page 548, 5B9 should be replaced by =B9.</w:t>
      </w:r>
    </w:p>
    <w:p w14:paraId="5D3E6BE6"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(8/25/2015) The argument of the second formula on page 565 should be F13, not F3.</w:t>
      </w:r>
    </w:p>
    <w:p w14:paraId="3EBE2CDF"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11</w:t>
      </w:r>
    </w:p>
    <w:p w14:paraId="20CC4A72" w14:textId="77777777" w:rsidR="00000000" w:rsidRDefault="00000000">
      <w:pPr>
        <w:pStyle w:val="section1"/>
        <w:numPr>
          <w:ilvl w:val="0"/>
          <w:numId w:val="2"/>
        </w:numPr>
        <w:outlineLvl w:val="2"/>
        <w:rPr>
          <w:rFonts w:asciiTheme="minorHAnsi" w:hAnsiTheme="minorHAnsi" w:cs="Calibri"/>
          <w:sz w:val="22"/>
          <w:szCs w:val="22"/>
        </w:rPr>
      </w:pPr>
      <w:bookmarkStart w:id="10" w:name="Ch12"/>
      <w:bookmarkStart w:id="11" w:name="Ch14"/>
      <w:bookmarkEnd w:id="10"/>
      <w:bookmarkEnd w:id="11"/>
      <w:r>
        <w:rPr>
          <w:rFonts w:asciiTheme="minorHAnsi" w:hAnsiTheme="minorHAnsi" w:cs="Calibri"/>
          <w:sz w:val="22"/>
          <w:szCs w:val="22"/>
        </w:rPr>
        <w:t>(11/15/2016) Step 2 on page 612 says that 9 batches were required in the scenario shown in Figure 11.11. It should state that 11 batches were required, and that blanks appear below row 26.</w:t>
      </w:r>
    </w:p>
    <w:p w14:paraId="5850AC50"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(11/15/2016) In the next-to-last line on page 632, it should be the square root of 12, not the square root of 2.</w:t>
      </w:r>
    </w:p>
    <w:p w14:paraId="29EF5C0B"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(12/1/2016) Problem 51 on page 664 can’t be solved using the RISKEXPON function if you have the academic version of @RISK because you’ll exceed the 100-distribution function limit of the academic version. However, there is an easy workaround. You can generate exponentially distributed random variables with Excel functions only using the formula =-Mean*LN(RAND()). Then you can still use @RISK to run the simulation.</w:t>
      </w:r>
    </w:p>
    <w:p w14:paraId="5EAAE9CF"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12</w:t>
      </w:r>
    </w:p>
    <w:p w14:paraId="5DD8A5E8"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(11/16/2016) There are some typos in the second paragraph of Example 12.9 on page 722. In line 7, Q5180 should be Q=180, and in line 8, 1802(1502140)5170 should be 180-(150-140)=170.</w:t>
      </w:r>
    </w:p>
    <w:p w14:paraId="5B618AD9" w14:textId="77777777" w:rsidR="00000000" w:rsidRDefault="00000000">
      <w:pPr>
        <w:pStyle w:val="section1"/>
        <w:outlineLvl w:val="2"/>
        <w:rPr>
          <w:b/>
          <w:bCs/>
        </w:rPr>
      </w:pPr>
      <w:r>
        <w:rPr>
          <w:rFonts w:asciiTheme="minorHAnsi" w:hAnsiTheme="minorHAnsi" w:cs="Calibri"/>
          <w:b/>
          <w:sz w:val="22"/>
          <w:szCs w:val="22"/>
        </w:rPr>
        <w:t>Chapter 13</w:t>
      </w:r>
    </w:p>
    <w:p w14:paraId="4818914E"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14</w:t>
      </w:r>
    </w:p>
    <w:p w14:paraId="718B3B71" w14:textId="77777777" w:rsidR="00000000" w:rsidRDefault="00000000">
      <w:pPr>
        <w:pStyle w:val="section1"/>
        <w:numPr>
          <w:ilvl w:val="0"/>
          <w:numId w:val="2"/>
        </w:numPr>
        <w:outlineLvl w:val="2"/>
        <w:rPr>
          <w:rFonts w:asciiTheme="minorHAnsi" w:hAnsiTheme="minorHAnsi" w:cs="Calibri"/>
          <w:sz w:val="22"/>
          <w:szCs w:val="22"/>
        </w:rPr>
      </w:pPr>
      <w:bookmarkStart w:id="12" w:name="Ch15"/>
      <w:bookmarkEnd w:id="12"/>
      <w:r>
        <w:rPr>
          <w:rFonts w:asciiTheme="minorHAnsi" w:hAnsiTheme="minorHAnsi" w:cs="Calibri"/>
          <w:sz w:val="22"/>
          <w:szCs w:val="22"/>
        </w:rPr>
        <w:t>(11/17/2016) The “formula” in step 1 near the bottom of page 795 looks weird, and that’s because it’s missing the equals sign at the beginning.</w:t>
      </w:r>
    </w:p>
    <w:p w14:paraId="057463A7" w14:textId="77777777" w:rsidR="00000000" w:rsidRDefault="00000000">
      <w:pPr>
        <w:pStyle w:val="section1"/>
        <w:outlineLvl w:val="2"/>
        <w:rPr>
          <w:b/>
          <w:bCs/>
        </w:rPr>
      </w:pPr>
      <w:r>
        <w:rPr>
          <w:rFonts w:asciiTheme="minorHAnsi" w:hAnsiTheme="minorHAnsi" w:cs="Calibri"/>
          <w:b/>
          <w:sz w:val="22"/>
          <w:szCs w:val="22"/>
        </w:rPr>
        <w:t>Chapter 15</w:t>
      </w:r>
    </w:p>
    <w:p w14:paraId="5D1FAC0C"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 xml:space="preserve">(11/22/2016) The note in the margin at the bottom of page 15-9 should state “…is the maximum of the earliest </w:t>
      </w:r>
      <w:r>
        <w:rPr>
          <w:rFonts w:asciiTheme="minorHAnsi" w:hAnsiTheme="minorHAnsi" w:cs="Calibri"/>
          <w:i/>
          <w:sz w:val="22"/>
          <w:szCs w:val="22"/>
        </w:rPr>
        <w:t>start</w:t>
      </w:r>
      <w:r>
        <w:rPr>
          <w:rFonts w:asciiTheme="minorHAnsi" w:hAnsiTheme="minorHAnsi" w:cs="Calibri"/>
          <w:sz w:val="22"/>
          <w:szCs w:val="22"/>
        </w:rPr>
        <w:t xml:space="preserve"> times…” (Also, it should be moved up next to step 2.)</w:t>
      </w:r>
    </w:p>
    <w:p w14:paraId="231832E9"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16</w:t>
      </w:r>
    </w:p>
    <w:p w14:paraId="7265D35B" w14:textId="77777777" w:rsidR="00000000" w:rsidRDefault="00000000">
      <w:pPr>
        <w:jc w:val="center"/>
      </w:pPr>
      <w:r>
        <w:pict w14:anchorId="213C3662">
          <v:rect id="_x0000_i1025" style="width:6in;height:1.5pt" o:hralign="center" o:hrstd="t" o:hr="t" fillcolor="#a0a0a0" stroked="f"/>
        </w:pict>
      </w:r>
    </w:p>
    <w:p w14:paraId="476A4B89" w14:textId="77777777" w:rsidR="00000000" w:rsidRDefault="00000000">
      <w:pPr>
        <w:pStyle w:val="section1"/>
        <w:spacing w:before="0" w:beforeAutospacing="0" w:after="0" w:afterAutospacing="0"/>
      </w:pPr>
    </w:p>
    <w:p w14:paraId="53E09B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8" w:history="1">
        <w:r>
          <w:rPr>
            <w:rStyle w:val="Hyperlink"/>
            <w:rFonts w:asciiTheme="minorHAnsi" w:hAnsiTheme="minorHAnsi" w:cs="Calibri"/>
            <w:sz w:val="22"/>
          </w:rPr>
          <w:t>Cengage</w:t>
        </w:r>
      </w:hyperlink>
      <w:r>
        <w:rPr>
          <w:rFonts w:asciiTheme="minorHAnsi" w:hAnsiTheme="minorHAnsi" w:cs="Calibri"/>
          <w:sz w:val="20"/>
          <w:szCs w:val="22"/>
        </w:rPr>
        <w:t xml:space="preserve"> </w:t>
      </w:r>
      <w:r>
        <w:rPr>
          <w:rFonts w:asciiTheme="minorHAnsi" w:hAnsiTheme="minorHAnsi" w:cs="Calibri"/>
          <w:sz w:val="22"/>
          <w:szCs w:val="22"/>
        </w:rPr>
        <w:t>site for our books.</w:t>
      </w:r>
    </w:p>
    <w:p w14:paraId="6AC65A9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9"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568F5A5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548A31B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and Winston are both retired from the </w:t>
      </w:r>
      <w:hyperlink r:id="rId10"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w:t>
      </w:r>
    </w:p>
    <w:p w14:paraId="54A33A5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500E54F" w14:textId="16531D9C"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1" w:history="1">
        <w:r>
          <w:rPr>
            <w:rStyle w:val="Hyperlink"/>
            <w:rFonts w:asciiTheme="minorHAnsi" w:hAnsiTheme="minorHAnsi" w:cs="Calibri"/>
            <w:sz w:val="22"/>
            <w:szCs w:val="22"/>
          </w:rPr>
          <w:t>home page</w:t>
        </w:r>
      </w:hyperlink>
    </w:p>
    <w:p w14:paraId="5E69BDC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9A31A7F" w14:textId="77777777" w:rsidR="00B87F1F" w:rsidRDefault="00000000">
      <w:pPr>
        <w:rPr>
          <w:rFonts w:asciiTheme="minorHAnsi" w:hAnsiTheme="minorHAnsi" w:cs="Calibri"/>
          <w:sz w:val="20"/>
          <w:szCs w:val="22"/>
        </w:rPr>
      </w:pPr>
      <w:r>
        <w:rPr>
          <w:rFonts w:asciiTheme="minorHAnsi" w:hAnsiTheme="minorHAnsi" w:cs="Calibri"/>
          <w:sz w:val="22"/>
        </w:rPr>
        <w:t>Updated: 1/3/2017</w:t>
      </w:r>
    </w:p>
    <w:sectPr w:rsidR="00B87F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21032"/>
    <w:multiLevelType w:val="hybridMultilevel"/>
    <w:tmpl w:val="22346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73884360">
    <w:abstractNumId w:val="0"/>
  </w:num>
  <w:num w:numId="2" w16cid:durableId="10309589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A0311"/>
    <w:rsid w:val="00B87F1F"/>
    <w:rsid w:val="00FA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2AB5A"/>
  <w15:chartTrackingRefBased/>
  <w15:docId w15:val="{14ED411B-2D32-4654-844C-64E86E5E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paragraph" w:styleId="ListParagraph">
    <w:name w:val="List Paragraph"/>
    <w:basedOn w:val="Normal"/>
    <w:uiPriority w:val="34"/>
    <w:semiHidden/>
    <w:qFormat/>
    <w:pPr>
      <w:ind w:left="720"/>
      <w:contextualSpacing/>
    </w:pPr>
  </w:style>
  <w:style w:type="paragraph" w:customStyle="1" w:styleId="section1">
    <w:name w:val="section1"/>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decisionsciences/albrig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chris\Dropbox\My%20Books\Web%20Site\Downloads\P05_45%20PMS%205e.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Dropbox\My%20Books\Web%20Site\Downloads\P02_46.xlsx" TargetMode="External"/><Relationship Id="rId11" Type="http://schemas.openxmlformats.org/officeDocument/2006/relationships/hyperlink" Target="file:///C:\Users\chris\Dropbox\My%20Books\Web%20Site\default.htm" TargetMode="External"/><Relationship Id="rId5" Type="http://schemas.openxmlformats.org/officeDocument/2006/relationships/hyperlink" Target="file:///C:\Users\chris\Dropbox\My%20Books\Web%20Site\Downloads\P02_43.xlsx" TargetMode="External"/><Relationship Id="rId10" Type="http://schemas.openxmlformats.org/officeDocument/2006/relationships/hyperlink" Target="http://www.kelley.indiana.edu/" TargetMode="External"/><Relationship Id="rId4" Type="http://schemas.openxmlformats.org/officeDocument/2006/relationships/webSettings" Target="webSettings.xml"/><Relationship Id="rId9" Type="http://schemas.openxmlformats.org/officeDocument/2006/relationships/hyperlink" Target="mailto:albright@indiana.edu"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5313</Characters>
  <Application>Microsoft Office Word</Application>
  <DocSecurity>0</DocSecurity>
  <Lines>44</Lines>
  <Paragraphs>12</Paragraphs>
  <ScaleCrop>false</ScaleCrop>
  <Company>Indiana University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2023-03-10T18:48:00Z</dcterms:created>
  <dcterms:modified xsi:type="dcterms:W3CDTF">2023-03-10T18:48:00Z</dcterms:modified>
</cp:coreProperties>
</file>